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A7" w:rsidRDefault="005B5EA7" w:rsidP="005B5EA7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4"/>
        </w:rPr>
        <w:t xml:space="preserve">附件1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5B5EA7" w:rsidRDefault="005B5EA7" w:rsidP="005B5EA7">
      <w:pPr>
        <w:spacing w:beforeLines="50" w:before="120" w:afterLines="100" w:after="240" w:line="5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河南省高校省级精品在线开放课程评价基本参考标准</w:t>
      </w:r>
    </w:p>
    <w:tbl>
      <w:tblPr>
        <w:tblW w:w="8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90"/>
        <w:gridCol w:w="6255"/>
      </w:tblGrid>
      <w:tr w:rsidR="005B5EA7" w:rsidTr="00F918BD">
        <w:trPr>
          <w:trHeight w:val="510"/>
          <w:tblHeader/>
        </w:trPr>
        <w:tc>
          <w:tcPr>
            <w:tcW w:w="1413" w:type="dxa"/>
            <w:vAlign w:val="center"/>
          </w:tcPr>
          <w:p w:rsidR="005B5EA7" w:rsidRDefault="005B5EA7" w:rsidP="00F918BD">
            <w:pPr>
              <w:pStyle w:val="TableParagraph"/>
              <w:spacing w:before="44" w:line="257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一级指标</w:t>
            </w: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1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二级指标</w:t>
            </w:r>
          </w:p>
        </w:tc>
        <w:tc>
          <w:tcPr>
            <w:tcW w:w="6255" w:type="dxa"/>
            <w:vAlign w:val="center"/>
          </w:tcPr>
          <w:p w:rsidR="005B5EA7" w:rsidRDefault="005B5EA7" w:rsidP="00F918BD">
            <w:pPr>
              <w:pStyle w:val="TableParagraph"/>
              <w:spacing w:before="1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指标</w:t>
            </w:r>
            <w:r>
              <w:rPr>
                <w:rFonts w:ascii="黑体" w:eastAsia="黑体" w:hAnsi="黑体" w:cs="黑体" w:hint="eastAsia"/>
                <w:szCs w:val="21"/>
                <w:lang w:val="en-US"/>
              </w:rPr>
              <w:t>说</w:t>
            </w:r>
            <w:r>
              <w:rPr>
                <w:rFonts w:ascii="黑体" w:eastAsia="黑体" w:hAnsi="黑体" w:cs="黑体" w:hint="eastAsia"/>
                <w:szCs w:val="21"/>
              </w:rPr>
              <w:t>明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 w:val="restart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课程团队</w:t>
            </w: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1"/>
              <w:jc w:val="center"/>
              <w:rPr>
                <w:szCs w:val="21"/>
              </w:rPr>
            </w:pPr>
            <w:r>
              <w:rPr>
                <w:szCs w:val="21"/>
              </w:rPr>
              <w:t>师风师德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课程负责人、主讲教师、助教具有良好师德，学术造诣深厚，教学能力强，教学特色鲜明。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课程团队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课程团队设置合理，包含课程负责人、主讲教师、助教等多种角色人员，分工明确。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 w:val="restart"/>
            <w:vAlign w:val="center"/>
          </w:tcPr>
          <w:p w:rsidR="005B5EA7" w:rsidRDefault="005B5EA7" w:rsidP="00F918BD">
            <w:pPr>
              <w:pStyle w:val="TableParagraph"/>
              <w:spacing w:before="1"/>
              <w:jc w:val="center"/>
              <w:rPr>
                <w:szCs w:val="21"/>
              </w:rPr>
            </w:pPr>
            <w:r>
              <w:rPr>
                <w:szCs w:val="21"/>
              </w:rPr>
              <w:t>课程内容</w:t>
            </w: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科学性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教学内容正确，具有时效性、前瞻性；无科学错误、政治性错误；无错误导向。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规范性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文字、符号、单位和公式符合国家标准，符合出版规范，无侵犯著作权行为。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思政育人</w:t>
            </w:r>
            <w:proofErr w:type="gramEnd"/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落实立德树人根本任务，深入挖掘专业课程育人功能</w:t>
            </w:r>
            <w:proofErr w:type="gramStart"/>
            <w:r>
              <w:rPr>
                <w:szCs w:val="21"/>
              </w:rPr>
              <w:t>和思政元素</w:t>
            </w:r>
            <w:proofErr w:type="gramEnd"/>
            <w:r>
              <w:rPr>
                <w:szCs w:val="21"/>
              </w:rPr>
              <w:t>， 找准专业课程与</w:t>
            </w:r>
            <w:proofErr w:type="gramStart"/>
            <w:r>
              <w:rPr>
                <w:szCs w:val="21"/>
              </w:rPr>
              <w:t>课程思政结合</w:t>
            </w:r>
            <w:proofErr w:type="gramEnd"/>
            <w:r>
              <w:rPr>
                <w:szCs w:val="21"/>
              </w:rPr>
              <w:t>切入点，做好自然融入、润物无声，注重学生德智体美劳全面发展。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1"/>
              <w:jc w:val="center"/>
              <w:rPr>
                <w:szCs w:val="21"/>
              </w:rPr>
            </w:pPr>
            <w:r>
              <w:rPr>
                <w:szCs w:val="21"/>
              </w:rPr>
              <w:t>知识覆盖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课程所涉知识内容全面，知识体系结构合理，</w:t>
            </w:r>
            <w:proofErr w:type="gramStart"/>
            <w:r>
              <w:rPr>
                <w:szCs w:val="21"/>
              </w:rPr>
              <w:t>除知识点教学</w:t>
            </w:r>
            <w:proofErr w:type="gramEnd"/>
            <w:r>
              <w:rPr>
                <w:szCs w:val="21"/>
              </w:rPr>
              <w:t>视频外，有和知识点内容配合的各种资料、学习辅助材料。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44" w:line="257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逻辑结构</w:t>
            </w:r>
          </w:p>
        </w:tc>
        <w:tc>
          <w:tcPr>
            <w:tcW w:w="6255" w:type="dxa"/>
            <w:vAlign w:val="center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逻辑结构清晰，层次清楚。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 w:val="restart"/>
            <w:vAlign w:val="center"/>
          </w:tcPr>
          <w:p w:rsidR="005B5EA7" w:rsidRDefault="005B5EA7" w:rsidP="00F918BD">
            <w:pPr>
              <w:pStyle w:val="TableParagraph"/>
              <w:spacing w:before="134"/>
              <w:jc w:val="center"/>
              <w:rPr>
                <w:szCs w:val="21"/>
              </w:rPr>
            </w:pPr>
            <w:r>
              <w:rPr>
                <w:szCs w:val="21"/>
              </w:rPr>
              <w:t>课程教学设计</w:t>
            </w: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目标设计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教学目标清晰、定位准确、表述规范，适应相应认知水平的学生；主要单元的学习目标中包含应用、分析、综合、评价等较高层次要求。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教学策略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采用适当策略吸引学习者注意力，激发和维持学习者的学习动机和兴趣。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内容设计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学习知识点所需时</w:t>
            </w:r>
            <w:proofErr w:type="gramStart"/>
            <w:r>
              <w:rPr>
                <w:szCs w:val="21"/>
              </w:rPr>
              <w:t>长设置</w:t>
            </w:r>
            <w:proofErr w:type="gramEnd"/>
            <w:r>
              <w:rPr>
                <w:szCs w:val="21"/>
              </w:rPr>
              <w:t>合理；重难点突出，难度较大的知识点须提供足够的支撑材料。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44" w:line="257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活动设计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根据教学内容和教学目标设计相关教学活动，并提供足够的支撑材料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学习帮助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学习过程中为学生提供适应性学习指导和帮助。包括课程简介、课程大纲、考核说明、学习指南等辅助文件，以及课程公告、课程讨论等及时的课程指导信息。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44" w:line="257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教学评价</w:t>
            </w:r>
          </w:p>
        </w:tc>
        <w:tc>
          <w:tcPr>
            <w:tcW w:w="6255" w:type="dxa"/>
            <w:vAlign w:val="center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有对作业、测试、习题、活动等的评判或学生学习效果的评价。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 w:val="restart"/>
            <w:vAlign w:val="center"/>
          </w:tcPr>
          <w:p w:rsidR="005B5EA7" w:rsidRDefault="005B5EA7" w:rsidP="00F918BD">
            <w:pPr>
              <w:pStyle w:val="TableParagraph"/>
              <w:spacing w:line="283" w:lineRule="auto"/>
              <w:ind w:right="90"/>
              <w:jc w:val="center"/>
              <w:rPr>
                <w:szCs w:val="21"/>
              </w:rPr>
            </w:pPr>
            <w:r>
              <w:rPr>
                <w:szCs w:val="21"/>
              </w:rPr>
              <w:t>教学互动与指导活跃度</w:t>
            </w: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44" w:line="252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人员参与度</w:t>
            </w:r>
          </w:p>
        </w:tc>
        <w:tc>
          <w:tcPr>
            <w:tcW w:w="6255" w:type="dxa"/>
            <w:vAlign w:val="center"/>
          </w:tcPr>
          <w:p w:rsidR="005B5EA7" w:rsidRDefault="005B5EA7" w:rsidP="00F918BD">
            <w:pPr>
              <w:pStyle w:val="TableParagraph"/>
              <w:spacing w:before="44"/>
              <w:rPr>
                <w:szCs w:val="21"/>
              </w:rPr>
            </w:pPr>
            <w:r>
              <w:rPr>
                <w:szCs w:val="21"/>
              </w:rPr>
              <w:t>参与课程的学生数量，完成课程的学生数量。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49" w:line="252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讨论区参与度</w:t>
            </w:r>
          </w:p>
        </w:tc>
        <w:tc>
          <w:tcPr>
            <w:tcW w:w="6255" w:type="dxa"/>
            <w:vAlign w:val="center"/>
          </w:tcPr>
          <w:p w:rsidR="005B5EA7" w:rsidRDefault="005B5EA7" w:rsidP="00F918BD">
            <w:pPr>
              <w:pStyle w:val="TableParagraph"/>
              <w:spacing w:before="44"/>
              <w:rPr>
                <w:szCs w:val="21"/>
              </w:rPr>
            </w:pPr>
            <w:r>
              <w:rPr>
                <w:szCs w:val="21"/>
              </w:rPr>
              <w:t>参与学生数量、比率；发帖与回帖数量；讨论质量。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44" w:line="257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活动参与度</w:t>
            </w:r>
          </w:p>
        </w:tc>
        <w:tc>
          <w:tcPr>
            <w:tcW w:w="6255" w:type="dxa"/>
            <w:vAlign w:val="center"/>
          </w:tcPr>
          <w:p w:rsidR="005B5EA7" w:rsidRDefault="005B5EA7" w:rsidP="00F918BD">
            <w:pPr>
              <w:pStyle w:val="TableParagraph"/>
              <w:spacing w:before="44"/>
              <w:rPr>
                <w:szCs w:val="21"/>
              </w:rPr>
            </w:pPr>
            <w:r>
              <w:rPr>
                <w:szCs w:val="21"/>
              </w:rPr>
              <w:t>参与学生数量、比率；活动完成率。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5B5EA7" w:rsidRDefault="005B5EA7" w:rsidP="00F918BD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before="44" w:line="257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考试参与度</w:t>
            </w:r>
          </w:p>
        </w:tc>
        <w:tc>
          <w:tcPr>
            <w:tcW w:w="6255" w:type="dxa"/>
            <w:vAlign w:val="center"/>
          </w:tcPr>
          <w:p w:rsidR="005B5EA7" w:rsidRDefault="005B5EA7" w:rsidP="00F918BD">
            <w:pPr>
              <w:pStyle w:val="TableParagraph"/>
              <w:spacing w:before="44"/>
              <w:rPr>
                <w:szCs w:val="21"/>
              </w:rPr>
            </w:pPr>
            <w:r>
              <w:rPr>
                <w:szCs w:val="21"/>
              </w:rPr>
              <w:t>参与学生数量、比率。</w:t>
            </w:r>
          </w:p>
        </w:tc>
      </w:tr>
      <w:tr w:rsidR="005B5EA7" w:rsidTr="00F918BD">
        <w:trPr>
          <w:trHeight w:val="510"/>
        </w:trPr>
        <w:tc>
          <w:tcPr>
            <w:tcW w:w="1413" w:type="dxa"/>
            <w:vAlign w:val="center"/>
          </w:tcPr>
          <w:p w:rsidR="005B5EA7" w:rsidRDefault="005B5EA7" w:rsidP="00F918BD">
            <w:pPr>
              <w:pStyle w:val="TableParagraph"/>
              <w:spacing w:line="288" w:lineRule="auto"/>
              <w:ind w:right="90"/>
              <w:jc w:val="center"/>
              <w:rPr>
                <w:szCs w:val="21"/>
              </w:rPr>
            </w:pPr>
            <w:r>
              <w:rPr>
                <w:szCs w:val="21"/>
              </w:rPr>
              <w:t>应用效果与影响</w:t>
            </w:r>
          </w:p>
        </w:tc>
        <w:tc>
          <w:tcPr>
            <w:tcW w:w="1290" w:type="dxa"/>
            <w:vAlign w:val="center"/>
          </w:tcPr>
          <w:p w:rsidR="005B5EA7" w:rsidRDefault="005B5EA7" w:rsidP="00F918BD">
            <w:pPr>
              <w:pStyle w:val="TableParagraph"/>
              <w:spacing w:line="288" w:lineRule="auto"/>
              <w:ind w:right="85"/>
              <w:jc w:val="center"/>
              <w:rPr>
                <w:szCs w:val="21"/>
              </w:rPr>
            </w:pPr>
            <w:r>
              <w:rPr>
                <w:szCs w:val="21"/>
              </w:rPr>
              <w:t>应用效果与影响</w:t>
            </w:r>
          </w:p>
        </w:tc>
        <w:tc>
          <w:tcPr>
            <w:tcW w:w="6255" w:type="dxa"/>
          </w:tcPr>
          <w:p w:rsidR="005B5EA7" w:rsidRDefault="005B5EA7" w:rsidP="00F918BD">
            <w:pPr>
              <w:pStyle w:val="TableParagraph"/>
              <w:spacing w:before="44"/>
              <w:jc w:val="left"/>
              <w:rPr>
                <w:szCs w:val="21"/>
              </w:rPr>
            </w:pPr>
            <w:r>
              <w:rPr>
                <w:szCs w:val="21"/>
              </w:rPr>
              <w:t>课程共享范围广泛，应用模式多样，有效选用的高校和社会学习者在线学习人数多，线上线下应用结合效果较好，能切实提高教学质量，在同类课程中具有一定的影响力，在推动大规模在线开放课程普及和发展中发挥示范引领作用。</w:t>
            </w:r>
          </w:p>
        </w:tc>
      </w:tr>
    </w:tbl>
    <w:p w:rsidR="005B5EA7" w:rsidRDefault="005B5EA7" w:rsidP="005B5EA7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  <w:sectPr w:rsidR="005B5EA7">
          <w:pgSz w:w="11910" w:h="16840"/>
          <w:pgMar w:top="1434" w:right="1485" w:bottom="1434" w:left="1485" w:header="0" w:footer="1788" w:gutter="0"/>
          <w:cols w:space="720"/>
        </w:sectPr>
      </w:pPr>
      <w:bookmarkStart w:id="0" w:name="_GoBack"/>
      <w:bookmarkEnd w:id="0"/>
    </w:p>
    <w:p w:rsidR="003A550D" w:rsidRPr="005B5EA7" w:rsidRDefault="003A550D"/>
    <w:sectPr w:rsidR="003A550D" w:rsidRPr="005B5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C5" w:rsidRDefault="003704C5" w:rsidP="005B5EA7">
      <w:r>
        <w:separator/>
      </w:r>
    </w:p>
  </w:endnote>
  <w:endnote w:type="continuationSeparator" w:id="0">
    <w:p w:rsidR="003704C5" w:rsidRDefault="003704C5" w:rsidP="005B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C5" w:rsidRDefault="003704C5" w:rsidP="005B5EA7">
      <w:r>
        <w:separator/>
      </w:r>
    </w:p>
  </w:footnote>
  <w:footnote w:type="continuationSeparator" w:id="0">
    <w:p w:rsidR="003704C5" w:rsidRDefault="003704C5" w:rsidP="005B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F6"/>
    <w:rsid w:val="003579F6"/>
    <w:rsid w:val="003704C5"/>
    <w:rsid w:val="003A550D"/>
    <w:rsid w:val="005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EA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B5EA7"/>
    <w:rPr>
      <w:rFonts w:ascii="宋体" w:eastAsia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EA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B5EA7"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2020-11-06T00:04:00Z</dcterms:created>
  <dcterms:modified xsi:type="dcterms:W3CDTF">2020-11-06T00:05:00Z</dcterms:modified>
</cp:coreProperties>
</file>