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2" w:rsidRDefault="00D96A72" w:rsidP="00D96A72">
      <w:pPr>
        <w:spacing w:line="360" w:lineRule="auto"/>
        <w:rPr>
          <w:rFonts w:ascii="黑体" w:eastAsia="黑体" w:hAnsi="黑体" w:cs="黑体"/>
          <w:sz w:val="36"/>
          <w:szCs w:val="36"/>
        </w:rPr>
      </w:pPr>
      <w:r>
        <w:rPr>
          <w:rFonts w:ascii="仿宋" w:eastAsia="仿宋" w:hAnsi="仿宋" w:cs="仿宋" w:hint="eastAsia"/>
          <w:sz w:val="28"/>
          <w:szCs w:val="28"/>
        </w:rPr>
        <w:t>附件2</w:t>
      </w:r>
    </w:p>
    <w:p w:rsidR="00D96A72" w:rsidRDefault="00D96A72" w:rsidP="00D96A72">
      <w:pPr>
        <w:snapToGrid w:val="0"/>
        <w:jc w:val="center"/>
        <w:rPr>
          <w:rFonts w:ascii="黑体" w:eastAsia="黑体" w:hAnsi="黑体" w:cs="黑体"/>
          <w:sz w:val="32"/>
          <w:szCs w:val="32"/>
        </w:rPr>
      </w:pPr>
      <w:r>
        <w:rPr>
          <w:rFonts w:ascii="黑体" w:eastAsia="黑体" w:hAnsi="黑体" w:cs="黑体" w:hint="eastAsia"/>
          <w:sz w:val="32"/>
          <w:szCs w:val="32"/>
        </w:rPr>
        <w:t>郑州市产教融合创新示范</w:t>
      </w:r>
      <w:proofErr w:type="gramStart"/>
      <w:r>
        <w:rPr>
          <w:rFonts w:ascii="黑体" w:eastAsia="黑体" w:hAnsi="黑体" w:cs="黑体" w:hint="eastAsia"/>
          <w:sz w:val="32"/>
          <w:szCs w:val="32"/>
        </w:rPr>
        <w:t>校评价</w:t>
      </w:r>
      <w:proofErr w:type="gramEnd"/>
      <w:r>
        <w:rPr>
          <w:rFonts w:ascii="黑体" w:eastAsia="黑体" w:hAnsi="黑体" w:cs="黑体" w:hint="eastAsia"/>
          <w:sz w:val="32"/>
          <w:szCs w:val="32"/>
        </w:rPr>
        <w:t>指标体系</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6"/>
        <w:gridCol w:w="1047"/>
        <w:gridCol w:w="6348"/>
        <w:gridCol w:w="847"/>
      </w:tblGrid>
      <w:tr w:rsidR="00D96A72" w:rsidTr="00D96A72">
        <w:trPr>
          <w:trHeight w:val="758"/>
          <w:tblHeader/>
          <w:jc w:val="center"/>
        </w:trPr>
        <w:tc>
          <w:tcPr>
            <w:tcW w:w="1056" w:type="dxa"/>
            <w:vAlign w:val="center"/>
          </w:tcPr>
          <w:p w:rsidR="00D96A72" w:rsidRDefault="00D96A72" w:rsidP="00040B12">
            <w:pPr>
              <w:widowControl/>
              <w:spacing w:line="360" w:lineRule="exact"/>
              <w:jc w:val="center"/>
              <w:rPr>
                <w:rFonts w:ascii="黑体" w:eastAsia="黑体" w:hAnsi="宋体" w:cs="宋体"/>
                <w:kern w:val="0"/>
                <w:szCs w:val="21"/>
              </w:rPr>
            </w:pPr>
            <w:r>
              <w:rPr>
                <w:rFonts w:ascii="黑体" w:eastAsia="黑体" w:hAnsi="宋体" w:cs="宋体" w:hint="eastAsia"/>
                <w:kern w:val="0"/>
                <w:szCs w:val="21"/>
              </w:rPr>
              <w:t>一级指标</w:t>
            </w:r>
          </w:p>
        </w:tc>
        <w:tc>
          <w:tcPr>
            <w:tcW w:w="1047" w:type="dxa"/>
            <w:vAlign w:val="center"/>
          </w:tcPr>
          <w:p w:rsidR="00D96A72" w:rsidRDefault="00D96A72" w:rsidP="00040B12">
            <w:pPr>
              <w:widowControl/>
              <w:spacing w:line="360" w:lineRule="exact"/>
              <w:jc w:val="center"/>
              <w:rPr>
                <w:rFonts w:ascii="黑体" w:eastAsia="黑体" w:hAnsi="宋体" w:cs="宋体"/>
                <w:kern w:val="0"/>
                <w:szCs w:val="21"/>
              </w:rPr>
            </w:pPr>
            <w:r>
              <w:rPr>
                <w:rFonts w:ascii="黑体" w:eastAsia="黑体" w:hAnsi="宋体" w:cs="宋体" w:hint="eastAsia"/>
                <w:kern w:val="0"/>
                <w:szCs w:val="21"/>
              </w:rPr>
              <w:t>二级指标</w:t>
            </w:r>
          </w:p>
        </w:tc>
        <w:tc>
          <w:tcPr>
            <w:tcW w:w="6348" w:type="dxa"/>
            <w:vAlign w:val="center"/>
          </w:tcPr>
          <w:p w:rsidR="00D96A72" w:rsidRDefault="00D96A72" w:rsidP="00040B12">
            <w:pPr>
              <w:widowControl/>
              <w:spacing w:line="360" w:lineRule="exact"/>
              <w:jc w:val="center"/>
              <w:rPr>
                <w:rFonts w:ascii="黑体" w:eastAsia="黑体" w:hAnsi="宋体" w:cs="宋体"/>
                <w:kern w:val="0"/>
                <w:szCs w:val="21"/>
              </w:rPr>
            </w:pPr>
            <w:r>
              <w:rPr>
                <w:rFonts w:ascii="黑体" w:eastAsia="黑体" w:hAnsi="宋体" w:cs="宋体" w:hint="eastAsia"/>
                <w:kern w:val="0"/>
                <w:szCs w:val="21"/>
              </w:rPr>
              <w:t>指标说明</w:t>
            </w:r>
          </w:p>
        </w:tc>
        <w:tc>
          <w:tcPr>
            <w:tcW w:w="847" w:type="dxa"/>
            <w:vAlign w:val="center"/>
          </w:tcPr>
          <w:p w:rsidR="00D96A72" w:rsidRDefault="00D96A72" w:rsidP="00040B12">
            <w:pPr>
              <w:widowControl/>
              <w:spacing w:line="360" w:lineRule="exact"/>
              <w:jc w:val="center"/>
              <w:rPr>
                <w:rFonts w:ascii="黑体" w:eastAsia="黑体" w:hAnsi="宋体" w:cs="宋体"/>
                <w:kern w:val="0"/>
                <w:szCs w:val="21"/>
              </w:rPr>
            </w:pPr>
            <w:r>
              <w:rPr>
                <w:rFonts w:ascii="黑体" w:eastAsia="黑体" w:hAnsi="宋体" w:cs="宋体" w:hint="eastAsia"/>
                <w:kern w:val="0"/>
                <w:szCs w:val="21"/>
              </w:rPr>
              <w:t>权重</w:t>
            </w:r>
          </w:p>
        </w:tc>
      </w:tr>
      <w:tr w:rsidR="00D96A72" w:rsidTr="00D96A72">
        <w:trPr>
          <w:trHeight w:val="716"/>
          <w:jc w:val="center"/>
        </w:trPr>
        <w:tc>
          <w:tcPr>
            <w:tcW w:w="1056" w:type="dxa"/>
            <w:vMerge w:val="restart"/>
            <w:vAlign w:val="center"/>
          </w:tcPr>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办学定位</w:t>
            </w:r>
          </w:p>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w:t>
            </w:r>
            <w:r>
              <w:rPr>
                <w:rFonts w:ascii="仿宋_GB2312" w:hAnsi="宋体" w:cs="宋体" w:hint="eastAsia"/>
                <w:kern w:val="0"/>
                <w:szCs w:val="21"/>
              </w:rPr>
              <w:t>10</w:t>
            </w:r>
            <w:r>
              <w:rPr>
                <w:rFonts w:ascii="仿宋_GB2312" w:hAnsi="宋体" w:cs="宋体" w:hint="eastAsia"/>
                <w:kern w:val="0"/>
                <w:szCs w:val="21"/>
              </w:rPr>
              <w:t>分）</w:t>
            </w:r>
          </w:p>
        </w:tc>
        <w:tc>
          <w:tcPr>
            <w:tcW w:w="1047" w:type="dxa"/>
            <w:vAlign w:val="center"/>
          </w:tcPr>
          <w:p w:rsidR="00D96A72" w:rsidRDefault="00D96A72" w:rsidP="00040B12">
            <w:pPr>
              <w:widowControl/>
              <w:snapToGrid w:val="0"/>
              <w:jc w:val="center"/>
              <w:rPr>
                <w:rFonts w:ascii="仿宋_GB2312" w:hAnsi="宋体" w:cs="宋体"/>
                <w:kern w:val="0"/>
                <w:szCs w:val="21"/>
              </w:rPr>
            </w:pPr>
            <w:r>
              <w:rPr>
                <w:rFonts w:ascii="仿宋_GB2312" w:hAnsi="宋体" w:cs="宋体" w:hint="eastAsia"/>
                <w:kern w:val="0"/>
                <w:szCs w:val="21"/>
              </w:rPr>
              <w:t>办学理念</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学校章程、发展规划等文件中明确显示加强产教融合的办学理念或转型发展路径。</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3</w:t>
            </w:r>
          </w:p>
        </w:tc>
      </w:tr>
      <w:tr w:rsidR="00D96A72" w:rsidTr="00D96A72">
        <w:trPr>
          <w:trHeight w:val="686"/>
          <w:jc w:val="center"/>
        </w:trPr>
        <w:tc>
          <w:tcPr>
            <w:tcW w:w="1056" w:type="dxa"/>
            <w:vMerge/>
            <w:vAlign w:val="center"/>
          </w:tcPr>
          <w:p w:rsidR="00D96A72" w:rsidRDefault="00D96A72" w:rsidP="00040B12">
            <w:pPr>
              <w:widowControl/>
              <w:spacing w:line="360" w:lineRule="exact"/>
              <w:jc w:val="center"/>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机构设置</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学校成立有专门负责产教融合的领导小组和办公室。</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2</w:t>
            </w:r>
          </w:p>
        </w:tc>
      </w:tr>
      <w:tr w:rsidR="00D96A72" w:rsidTr="00D96A72">
        <w:trPr>
          <w:trHeight w:val="647"/>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hAnsi="宋体" w:cs="宋体"/>
                <w:kern w:val="0"/>
                <w:szCs w:val="21"/>
              </w:rPr>
            </w:pPr>
            <w:r>
              <w:rPr>
                <w:rFonts w:ascii="仿宋_GB2312" w:hAnsi="宋体" w:cs="宋体" w:hint="eastAsia"/>
                <w:kern w:val="0"/>
                <w:szCs w:val="21"/>
              </w:rPr>
              <w:t>管理制度</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有推进产教融合的规章制度、管理和考核办法。</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912"/>
          <w:jc w:val="center"/>
        </w:trPr>
        <w:tc>
          <w:tcPr>
            <w:tcW w:w="1056" w:type="dxa"/>
            <w:vMerge w:val="restart"/>
            <w:vAlign w:val="center"/>
          </w:tcPr>
          <w:p w:rsidR="00D96A72" w:rsidRDefault="00D96A72" w:rsidP="00040B12">
            <w:pPr>
              <w:widowControl/>
              <w:jc w:val="center"/>
              <w:rPr>
                <w:rFonts w:ascii="仿宋_GB2312" w:eastAsia="宋体" w:hAnsi="宋体" w:cs="宋体"/>
                <w:kern w:val="0"/>
                <w:szCs w:val="21"/>
              </w:rPr>
            </w:pPr>
            <w:r>
              <w:rPr>
                <w:rFonts w:ascii="仿宋_GB2312" w:hAnsi="宋体" w:cs="宋体" w:hint="eastAsia"/>
                <w:kern w:val="0"/>
                <w:szCs w:val="21"/>
              </w:rPr>
              <w:t>合作办学（</w:t>
            </w:r>
            <w:r>
              <w:rPr>
                <w:rFonts w:ascii="仿宋_GB2312" w:hAnsi="宋体" w:cs="宋体" w:hint="eastAsia"/>
                <w:kern w:val="0"/>
                <w:szCs w:val="21"/>
              </w:rPr>
              <w:t>20</w:t>
            </w:r>
            <w:r>
              <w:rPr>
                <w:rFonts w:ascii="仿宋_GB2312" w:hAnsi="宋体" w:cs="宋体" w:hint="eastAsia"/>
                <w:kern w:val="0"/>
                <w:szCs w:val="21"/>
              </w:rPr>
              <w:t>分）</w:t>
            </w: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合作机制</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学校与企业共同探索建立完善的合作管理模式和运行机制，签订合作协议，</w:t>
            </w:r>
            <w:proofErr w:type="gramStart"/>
            <w:r>
              <w:rPr>
                <w:rFonts w:ascii="仿宋_GB2312" w:hAnsi="宋体" w:cs="宋体" w:hint="eastAsia"/>
                <w:kern w:val="0"/>
                <w:szCs w:val="21"/>
              </w:rPr>
              <w:t>明确校</w:t>
            </w:r>
            <w:proofErr w:type="gramEnd"/>
            <w:r>
              <w:rPr>
                <w:rFonts w:ascii="仿宋_GB2312" w:hAnsi="宋体" w:cs="宋体" w:hint="eastAsia"/>
                <w:kern w:val="0"/>
                <w:szCs w:val="21"/>
              </w:rPr>
              <w:t>企双方职责，完善工作规程和考核评价办法，建立健全日常运行、学生管理、安全保障等规章制度。</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826"/>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产业学院</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以服务新产业、新业态、新技术为重点，校企共建产业学院，组建跨学科、跨专业的产业学院，取得明显成效。</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8</w:t>
            </w:r>
          </w:p>
        </w:tc>
      </w:tr>
      <w:tr w:rsidR="00D96A72" w:rsidTr="00D96A72">
        <w:trPr>
          <w:trHeight w:val="912"/>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创新实践平台</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以</w:t>
            </w:r>
            <w:proofErr w:type="gramStart"/>
            <w:r>
              <w:rPr>
                <w:rFonts w:ascii="仿宋_GB2312" w:hAnsi="宋体" w:cs="宋体" w:hint="eastAsia"/>
                <w:kern w:val="0"/>
                <w:szCs w:val="21"/>
              </w:rPr>
              <w:t>引企驻</w:t>
            </w:r>
            <w:proofErr w:type="gramEnd"/>
            <w:r>
              <w:rPr>
                <w:rFonts w:ascii="仿宋_GB2312" w:hAnsi="宋体" w:cs="宋体" w:hint="eastAsia"/>
                <w:kern w:val="0"/>
                <w:szCs w:val="21"/>
              </w:rPr>
              <w:t>校、</w:t>
            </w:r>
            <w:proofErr w:type="gramStart"/>
            <w:r>
              <w:rPr>
                <w:rFonts w:ascii="仿宋_GB2312" w:hAnsi="宋体" w:cs="宋体" w:hint="eastAsia"/>
                <w:kern w:val="0"/>
                <w:szCs w:val="21"/>
              </w:rPr>
              <w:t>引校进企</w:t>
            </w:r>
            <w:proofErr w:type="gramEnd"/>
            <w:r>
              <w:rPr>
                <w:rFonts w:ascii="仿宋_GB2312" w:hAnsi="宋体" w:cs="宋体" w:hint="eastAsia"/>
                <w:kern w:val="0"/>
                <w:szCs w:val="21"/>
              </w:rPr>
              <w:t>、校企一体等方式，吸引行业骨干企业、行业协会和产业园区与学校共建共享生产性实习实训基地、创新实践平台等。</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7</w:t>
            </w:r>
          </w:p>
        </w:tc>
      </w:tr>
      <w:tr w:rsidR="00D96A72" w:rsidTr="00D96A72">
        <w:trPr>
          <w:trHeight w:val="950"/>
          <w:jc w:val="center"/>
        </w:trPr>
        <w:tc>
          <w:tcPr>
            <w:tcW w:w="1056" w:type="dxa"/>
            <w:vMerge w:val="restart"/>
            <w:vAlign w:val="center"/>
          </w:tcPr>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专业建设（</w:t>
            </w:r>
            <w:r>
              <w:rPr>
                <w:rFonts w:ascii="仿宋_GB2312" w:hAnsi="宋体" w:cs="宋体" w:hint="eastAsia"/>
                <w:kern w:val="0"/>
                <w:szCs w:val="21"/>
              </w:rPr>
              <w:t>10</w:t>
            </w:r>
            <w:r>
              <w:rPr>
                <w:rFonts w:ascii="仿宋_GB2312" w:hAnsi="宋体" w:cs="宋体" w:hint="eastAsia"/>
                <w:kern w:val="0"/>
                <w:szCs w:val="21"/>
              </w:rPr>
              <w:t>分）</w:t>
            </w: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专业设置</w:t>
            </w:r>
          </w:p>
        </w:tc>
        <w:tc>
          <w:tcPr>
            <w:tcW w:w="6348" w:type="dxa"/>
            <w:vAlign w:val="center"/>
          </w:tcPr>
          <w:p w:rsidR="00D96A72" w:rsidRDefault="00D96A72" w:rsidP="00040B12">
            <w:pPr>
              <w:widowControl/>
              <w:spacing w:line="360" w:lineRule="exact"/>
              <w:rPr>
                <w:rFonts w:ascii="仿宋_GB2312" w:eastAsia="宋体" w:hAnsi="宋体" w:cs="宋体"/>
                <w:kern w:val="0"/>
                <w:szCs w:val="21"/>
              </w:rPr>
            </w:pPr>
            <w:r>
              <w:rPr>
                <w:rFonts w:ascii="仿宋_GB2312" w:eastAsia="宋体" w:hAnsi="宋体" w:cs="宋体" w:hint="eastAsia"/>
                <w:kern w:val="0"/>
                <w:szCs w:val="21"/>
              </w:rPr>
              <w:t>对接地方产业需要，持续优化专业结构，构建与产业链对接的专业体系，建立招生</w:t>
            </w:r>
            <w:r>
              <w:rPr>
                <w:rFonts w:ascii="仿宋_GB2312" w:eastAsia="宋体" w:hAnsi="宋体" w:cs="宋体" w:hint="eastAsia"/>
                <w:kern w:val="0"/>
                <w:szCs w:val="21"/>
              </w:rPr>
              <w:t>-</w:t>
            </w:r>
            <w:r>
              <w:rPr>
                <w:rFonts w:ascii="仿宋_GB2312" w:eastAsia="宋体" w:hAnsi="宋体" w:cs="宋体" w:hint="eastAsia"/>
                <w:kern w:val="0"/>
                <w:szCs w:val="21"/>
              </w:rPr>
              <w:t>培养</w:t>
            </w:r>
            <w:r>
              <w:rPr>
                <w:rFonts w:ascii="仿宋_GB2312" w:eastAsia="宋体" w:hAnsi="宋体" w:cs="宋体" w:hint="eastAsia"/>
                <w:kern w:val="0"/>
                <w:szCs w:val="21"/>
              </w:rPr>
              <w:t>-</w:t>
            </w:r>
            <w:r>
              <w:rPr>
                <w:rFonts w:ascii="仿宋_GB2312" w:eastAsia="宋体" w:hAnsi="宋体" w:cs="宋体" w:hint="eastAsia"/>
                <w:kern w:val="0"/>
                <w:szCs w:val="21"/>
              </w:rPr>
              <w:t>就业联动机制且有效运行。</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1044"/>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专业集群建设</w:t>
            </w:r>
          </w:p>
        </w:tc>
        <w:tc>
          <w:tcPr>
            <w:tcW w:w="6348" w:type="dxa"/>
            <w:vAlign w:val="center"/>
          </w:tcPr>
          <w:p w:rsidR="00D96A72" w:rsidRDefault="00D96A72" w:rsidP="00040B12">
            <w:pPr>
              <w:widowControl/>
              <w:spacing w:line="360" w:lineRule="exact"/>
              <w:rPr>
                <w:rFonts w:ascii="仿宋_GB2312" w:eastAsia="宋体" w:hAnsi="宋体" w:cs="宋体"/>
                <w:kern w:val="0"/>
                <w:szCs w:val="21"/>
              </w:rPr>
            </w:pPr>
            <w:r>
              <w:rPr>
                <w:rFonts w:ascii="仿宋_GB2312" w:eastAsia="宋体" w:hAnsi="宋体" w:cs="宋体" w:hint="eastAsia"/>
                <w:kern w:val="0"/>
                <w:szCs w:val="21"/>
              </w:rPr>
              <w:t>专业集群发展思路</w:t>
            </w:r>
            <w:r>
              <w:rPr>
                <w:rFonts w:ascii="仿宋_GB2312" w:hAnsi="宋体" w:cs="宋体" w:hint="eastAsia"/>
                <w:kern w:val="0"/>
                <w:szCs w:val="21"/>
              </w:rPr>
              <w:t>明晰</w:t>
            </w:r>
            <w:r>
              <w:rPr>
                <w:rFonts w:ascii="仿宋_GB2312" w:eastAsia="宋体" w:hAnsi="宋体" w:cs="宋体" w:hint="eastAsia"/>
                <w:kern w:val="0"/>
                <w:szCs w:val="21"/>
              </w:rPr>
              <w:t>，建设有与产业对接的专业群，</w:t>
            </w:r>
            <w:r>
              <w:rPr>
                <w:rFonts w:ascii="仿宋_GB2312" w:hAnsi="宋体" w:cs="宋体" w:hint="eastAsia"/>
                <w:kern w:val="0"/>
                <w:szCs w:val="21"/>
              </w:rPr>
              <w:t>有一定数量的省、</w:t>
            </w:r>
            <w:proofErr w:type="gramStart"/>
            <w:r>
              <w:rPr>
                <w:rFonts w:ascii="仿宋_GB2312" w:hAnsi="宋体" w:cs="宋体" w:hint="eastAsia"/>
                <w:kern w:val="0"/>
                <w:szCs w:val="21"/>
              </w:rPr>
              <w:t>市特色</w:t>
            </w:r>
            <w:proofErr w:type="gramEnd"/>
            <w:r>
              <w:rPr>
                <w:rFonts w:ascii="仿宋_GB2312" w:hAnsi="宋体" w:cs="宋体" w:hint="eastAsia"/>
                <w:kern w:val="0"/>
                <w:szCs w:val="21"/>
              </w:rPr>
              <w:t>专业</w:t>
            </w:r>
            <w:r>
              <w:rPr>
                <w:rFonts w:ascii="仿宋_GB2312" w:eastAsia="宋体" w:hAnsi="宋体" w:cs="宋体" w:hint="eastAsia"/>
                <w:kern w:val="0"/>
                <w:szCs w:val="21"/>
              </w:rPr>
              <w:t>。</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835"/>
          <w:jc w:val="center"/>
        </w:trPr>
        <w:tc>
          <w:tcPr>
            <w:tcW w:w="1056" w:type="dxa"/>
            <w:vMerge w:val="restart"/>
            <w:vAlign w:val="center"/>
          </w:tcPr>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人才培养（</w:t>
            </w:r>
            <w:r>
              <w:rPr>
                <w:rFonts w:ascii="仿宋_GB2312" w:hAnsi="宋体" w:cs="宋体" w:hint="eastAsia"/>
                <w:kern w:val="0"/>
                <w:szCs w:val="21"/>
              </w:rPr>
              <w:t>15</w:t>
            </w:r>
            <w:r>
              <w:rPr>
                <w:rFonts w:ascii="仿宋_GB2312" w:hAnsi="宋体" w:cs="宋体" w:hint="eastAsia"/>
                <w:kern w:val="0"/>
                <w:szCs w:val="21"/>
              </w:rPr>
              <w:t>分）</w:t>
            </w: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企业参与</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行业企业与学校的合作渗透到专业设置、人才培养方案修订、课程与教材开发、师资培训等。</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950"/>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课程教材</w:t>
            </w:r>
          </w:p>
        </w:tc>
        <w:tc>
          <w:tcPr>
            <w:tcW w:w="6348" w:type="dxa"/>
            <w:vAlign w:val="center"/>
          </w:tcPr>
          <w:p w:rsidR="00D96A72" w:rsidRDefault="00D96A72" w:rsidP="00040B12">
            <w:pPr>
              <w:widowControl/>
              <w:spacing w:line="360" w:lineRule="exact"/>
              <w:rPr>
                <w:rFonts w:ascii="仿宋_GB2312" w:eastAsia="宋体" w:hAnsi="宋体" w:cs="宋体"/>
                <w:kern w:val="0"/>
                <w:szCs w:val="21"/>
              </w:rPr>
            </w:pPr>
            <w:r>
              <w:rPr>
                <w:rFonts w:ascii="仿宋_GB2312" w:hAnsi="宋体" w:cs="宋体" w:hint="eastAsia"/>
                <w:kern w:val="0"/>
                <w:szCs w:val="21"/>
              </w:rPr>
              <w:t>根据社会经济发展和产业技术进步进行课程改革，课程设置更加专注培养学习者的技术技能和创新创业能力，校企共编应用型教材。</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1237"/>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教学模式</w:t>
            </w:r>
          </w:p>
        </w:tc>
        <w:tc>
          <w:tcPr>
            <w:tcW w:w="6348" w:type="dxa"/>
            <w:vAlign w:val="center"/>
          </w:tcPr>
          <w:p w:rsidR="00D96A72" w:rsidRDefault="00D96A72" w:rsidP="00040B12">
            <w:pPr>
              <w:widowControl/>
              <w:spacing w:line="360" w:lineRule="exact"/>
              <w:rPr>
                <w:rFonts w:ascii="仿宋_GB2312" w:eastAsia="宋体" w:hAnsi="宋体" w:cs="宋体"/>
                <w:kern w:val="0"/>
                <w:szCs w:val="21"/>
              </w:rPr>
            </w:pPr>
            <w:r>
              <w:rPr>
                <w:rFonts w:ascii="仿宋_GB2312" w:hAnsi="宋体" w:cs="宋体" w:hint="eastAsia"/>
                <w:kern w:val="0"/>
                <w:szCs w:val="21"/>
              </w:rPr>
              <w:t>开展形式灵活多样的生产现场教学和专题教学，推行工学结合、案例教学、项目教学，实现教学过程与生产过程对接。</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950"/>
          <w:jc w:val="center"/>
        </w:trPr>
        <w:tc>
          <w:tcPr>
            <w:tcW w:w="1056" w:type="dxa"/>
            <w:vMerge w:val="restart"/>
            <w:vAlign w:val="center"/>
          </w:tcPr>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师资队伍</w:t>
            </w:r>
          </w:p>
          <w:p w:rsidR="00D96A72" w:rsidRDefault="00D96A72" w:rsidP="00040B12">
            <w:pPr>
              <w:spacing w:line="360" w:lineRule="exact"/>
              <w:jc w:val="center"/>
              <w:rPr>
                <w:rFonts w:ascii="仿宋_GB2312" w:hAnsi="宋体" w:cs="宋体"/>
                <w:kern w:val="0"/>
                <w:szCs w:val="21"/>
              </w:rPr>
            </w:pPr>
            <w:r>
              <w:rPr>
                <w:rFonts w:ascii="仿宋_GB2312" w:hAnsi="宋体" w:cs="宋体" w:hint="eastAsia"/>
                <w:kern w:val="0"/>
                <w:szCs w:val="21"/>
              </w:rPr>
              <w:t>（</w:t>
            </w:r>
            <w:r>
              <w:rPr>
                <w:rFonts w:ascii="仿宋_GB2312" w:hAnsi="宋体" w:cs="宋体" w:hint="eastAsia"/>
                <w:kern w:val="0"/>
                <w:szCs w:val="21"/>
              </w:rPr>
              <w:t>15</w:t>
            </w:r>
            <w:r>
              <w:rPr>
                <w:rFonts w:ascii="仿宋_GB2312" w:hAnsi="宋体" w:cs="宋体" w:hint="eastAsia"/>
                <w:kern w:val="0"/>
                <w:szCs w:val="21"/>
              </w:rPr>
              <w:t>分）</w:t>
            </w:r>
          </w:p>
        </w:tc>
        <w:tc>
          <w:tcPr>
            <w:tcW w:w="1047" w:type="dxa"/>
            <w:vAlign w:val="center"/>
          </w:tcPr>
          <w:p w:rsidR="00D96A72" w:rsidRDefault="00D96A72" w:rsidP="00040B12">
            <w:pPr>
              <w:widowControl/>
              <w:snapToGrid w:val="0"/>
              <w:jc w:val="center"/>
              <w:rPr>
                <w:rFonts w:ascii="仿宋_GB2312" w:hAnsi="宋体" w:cs="宋体"/>
                <w:kern w:val="0"/>
                <w:szCs w:val="21"/>
              </w:rPr>
            </w:pPr>
            <w:r>
              <w:rPr>
                <w:rFonts w:ascii="仿宋_GB2312" w:hAnsi="宋体" w:cs="宋体" w:hint="eastAsia"/>
                <w:kern w:val="0"/>
                <w:szCs w:val="21"/>
              </w:rPr>
              <w:t>教师数量</w:t>
            </w:r>
          </w:p>
        </w:tc>
        <w:tc>
          <w:tcPr>
            <w:tcW w:w="6348" w:type="dxa"/>
            <w:vAlign w:val="center"/>
          </w:tcPr>
          <w:p w:rsidR="00D96A72" w:rsidRDefault="00D96A72" w:rsidP="00040B12">
            <w:pPr>
              <w:widowControl/>
              <w:spacing w:line="360" w:lineRule="exact"/>
              <w:rPr>
                <w:rFonts w:ascii="仿宋_GB2312" w:hAnsi="宋体" w:cs="宋体"/>
                <w:kern w:val="0"/>
                <w:szCs w:val="21"/>
              </w:rPr>
            </w:pPr>
          </w:p>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生师比合理，达到《普通高等学校基本办学条件指标（试行）》合格标准，能够满足人才培养工作需要。</w:t>
            </w:r>
          </w:p>
          <w:p w:rsidR="00D96A72" w:rsidRDefault="00D96A72" w:rsidP="00040B12">
            <w:pPr>
              <w:widowControl/>
              <w:spacing w:line="360" w:lineRule="exact"/>
              <w:rPr>
                <w:rFonts w:ascii="仿宋_GB2312" w:hAnsi="宋体" w:cs="宋体"/>
                <w:kern w:val="0"/>
                <w:szCs w:val="21"/>
              </w:rPr>
            </w:pPr>
          </w:p>
        </w:tc>
        <w:tc>
          <w:tcPr>
            <w:tcW w:w="847" w:type="dxa"/>
            <w:vAlign w:val="center"/>
          </w:tcPr>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4</w:t>
            </w:r>
          </w:p>
        </w:tc>
      </w:tr>
      <w:tr w:rsidR="00D96A72" w:rsidTr="00D96A72">
        <w:trPr>
          <w:trHeight w:val="416"/>
          <w:jc w:val="center"/>
        </w:trPr>
        <w:tc>
          <w:tcPr>
            <w:tcW w:w="1056" w:type="dxa"/>
            <w:vMerge/>
            <w:vAlign w:val="center"/>
          </w:tcPr>
          <w:p w:rsidR="00D96A72" w:rsidRDefault="00D96A72" w:rsidP="00040B12">
            <w:pPr>
              <w:widowControl/>
              <w:spacing w:line="360" w:lineRule="exact"/>
              <w:jc w:val="center"/>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hAnsi="宋体" w:cs="宋体"/>
                <w:kern w:val="0"/>
                <w:szCs w:val="21"/>
              </w:rPr>
            </w:pPr>
            <w:r>
              <w:rPr>
                <w:rFonts w:ascii="仿宋_GB2312" w:hAnsi="宋体" w:cs="宋体" w:hint="eastAsia"/>
                <w:kern w:val="0"/>
                <w:szCs w:val="21"/>
              </w:rPr>
              <w:t>教师结构</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专任教师中具有硕士、博士学位教师及副高级专业技术职务以上人员</w:t>
            </w:r>
            <w:r>
              <w:rPr>
                <w:rFonts w:ascii="仿宋_GB2312" w:hAnsi="宋体" w:cs="宋体" w:hint="eastAsia"/>
                <w:kern w:val="0"/>
                <w:szCs w:val="21"/>
              </w:rPr>
              <w:lastRenderedPageBreak/>
              <w:t>达到一定比例</w:t>
            </w:r>
            <w:r>
              <w:rPr>
                <w:rFonts w:ascii="仿宋_GB2312" w:hAnsi="宋体" w:cs="宋体" w:hint="eastAsia"/>
                <w:kern w:val="0"/>
                <w:szCs w:val="21"/>
              </w:rPr>
              <w:t>(</w:t>
            </w:r>
            <w:r>
              <w:rPr>
                <w:rFonts w:ascii="仿宋_GB2312" w:hAnsi="宋体" w:cs="宋体" w:hint="eastAsia"/>
                <w:kern w:val="0"/>
                <w:szCs w:val="21"/>
              </w:rPr>
              <w:t>本科院校达到</w:t>
            </w:r>
            <w:r>
              <w:rPr>
                <w:rFonts w:ascii="仿宋_GB2312" w:hAnsi="宋体" w:cs="宋体" w:hint="eastAsia"/>
                <w:kern w:val="0"/>
                <w:szCs w:val="21"/>
              </w:rPr>
              <w:t>60%</w:t>
            </w:r>
            <w:r>
              <w:rPr>
                <w:rFonts w:ascii="仿宋_GB2312" w:hAnsi="宋体" w:cs="宋体" w:hint="eastAsia"/>
                <w:kern w:val="0"/>
                <w:szCs w:val="21"/>
              </w:rPr>
              <w:t>以上，专科院校达</w:t>
            </w:r>
            <w:r>
              <w:rPr>
                <w:rFonts w:ascii="仿宋_GB2312" w:hAnsi="宋体" w:cs="宋体" w:hint="eastAsia"/>
                <w:kern w:val="0"/>
                <w:szCs w:val="21"/>
              </w:rPr>
              <w:t>40%</w:t>
            </w:r>
            <w:r>
              <w:rPr>
                <w:rFonts w:ascii="仿宋_GB2312" w:hAnsi="宋体" w:cs="宋体" w:hint="eastAsia"/>
                <w:kern w:val="0"/>
                <w:szCs w:val="21"/>
              </w:rPr>
              <w:t>以上</w:t>
            </w:r>
            <w:r>
              <w:rPr>
                <w:rFonts w:ascii="仿宋_GB2312" w:hAnsi="宋体" w:cs="宋体" w:hint="eastAsia"/>
                <w:kern w:val="0"/>
                <w:szCs w:val="21"/>
              </w:rPr>
              <w:t>)</w:t>
            </w:r>
            <w:r>
              <w:rPr>
                <w:rFonts w:ascii="仿宋_GB2312" w:hAnsi="宋体" w:cs="宋体" w:hint="eastAsia"/>
                <w:kern w:val="0"/>
                <w:szCs w:val="21"/>
              </w:rPr>
              <w:t>；专业基础课和专业课中“双师双能型”教师（含兼职教师）达到一定比例</w:t>
            </w:r>
            <w:r>
              <w:rPr>
                <w:rFonts w:ascii="仿宋_GB2312" w:hAnsi="宋体" w:cs="宋体" w:hint="eastAsia"/>
                <w:kern w:val="0"/>
                <w:szCs w:val="21"/>
              </w:rPr>
              <w:t>(</w:t>
            </w:r>
            <w:r>
              <w:rPr>
                <w:rFonts w:ascii="仿宋_GB2312" w:hAnsi="宋体" w:cs="宋体" w:hint="eastAsia"/>
                <w:kern w:val="0"/>
                <w:szCs w:val="21"/>
              </w:rPr>
              <w:t>本科院校达到</w:t>
            </w:r>
            <w:r>
              <w:rPr>
                <w:rFonts w:ascii="仿宋_GB2312" w:hAnsi="宋体" w:cs="宋体" w:hint="eastAsia"/>
                <w:kern w:val="0"/>
                <w:szCs w:val="21"/>
              </w:rPr>
              <w:t>40%</w:t>
            </w:r>
            <w:r>
              <w:rPr>
                <w:rFonts w:ascii="仿宋_GB2312" w:hAnsi="宋体" w:cs="宋体" w:hint="eastAsia"/>
                <w:kern w:val="0"/>
                <w:szCs w:val="21"/>
              </w:rPr>
              <w:t>以上，专科院校达</w:t>
            </w:r>
            <w:r>
              <w:rPr>
                <w:rFonts w:ascii="仿宋_GB2312" w:hAnsi="宋体" w:cs="宋体" w:hint="eastAsia"/>
                <w:kern w:val="0"/>
                <w:szCs w:val="21"/>
              </w:rPr>
              <w:t>50%</w:t>
            </w:r>
            <w:r>
              <w:rPr>
                <w:rFonts w:ascii="仿宋_GB2312" w:hAnsi="宋体" w:cs="宋体" w:hint="eastAsia"/>
                <w:kern w:val="0"/>
                <w:szCs w:val="21"/>
              </w:rPr>
              <w:t>以上</w:t>
            </w:r>
            <w:r>
              <w:rPr>
                <w:rFonts w:ascii="仿宋_GB2312" w:hAnsi="宋体" w:cs="宋体" w:hint="eastAsia"/>
                <w:kern w:val="0"/>
                <w:szCs w:val="21"/>
              </w:rPr>
              <w:t>)</w:t>
            </w:r>
            <w:r>
              <w:rPr>
                <w:rFonts w:ascii="仿宋_GB2312" w:hAnsi="宋体" w:cs="宋体" w:hint="eastAsia"/>
                <w:kern w:val="0"/>
                <w:szCs w:val="21"/>
              </w:rPr>
              <w:t>，聘请企业优秀专业技术人才、管理人才和高技能人才担任实践指导课教师。</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lastRenderedPageBreak/>
              <w:t>5</w:t>
            </w:r>
          </w:p>
        </w:tc>
      </w:tr>
      <w:tr w:rsidR="00D96A72" w:rsidTr="00D96A72">
        <w:trPr>
          <w:trHeight w:val="950"/>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hAnsi="宋体" w:cs="宋体"/>
                <w:kern w:val="0"/>
                <w:szCs w:val="21"/>
              </w:rPr>
            </w:pPr>
            <w:r>
              <w:rPr>
                <w:rFonts w:ascii="仿宋_GB2312" w:hAnsi="宋体" w:cs="宋体" w:hint="eastAsia"/>
                <w:kern w:val="0"/>
                <w:szCs w:val="21"/>
              </w:rPr>
              <w:t>教师培养</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学校建立“双师双能”教师培养制度，建有现任专业课教师定期赴企业挂职实践制度，在评优评先、职称评聘等方面向“双师双能型”教师倾斜。有</w:t>
            </w:r>
            <w:r>
              <w:rPr>
                <w:rFonts w:ascii="仿宋_GB2312" w:hAnsi="宋体" w:cs="宋体" w:hint="eastAsia"/>
                <w:kern w:val="0"/>
                <w:szCs w:val="21"/>
              </w:rPr>
              <w:t>2</w:t>
            </w:r>
            <w:r>
              <w:rPr>
                <w:rFonts w:ascii="仿宋_GB2312" w:hAnsi="宋体" w:cs="宋体" w:hint="eastAsia"/>
                <w:kern w:val="0"/>
                <w:szCs w:val="21"/>
              </w:rPr>
              <w:t>个及以上市级优秀教学团队或</w:t>
            </w:r>
            <w:r>
              <w:rPr>
                <w:rFonts w:ascii="仿宋_GB2312" w:hAnsi="宋体" w:cs="宋体" w:hint="eastAsia"/>
                <w:kern w:val="0"/>
                <w:szCs w:val="21"/>
              </w:rPr>
              <w:t>1</w:t>
            </w:r>
            <w:r>
              <w:rPr>
                <w:rFonts w:ascii="仿宋_GB2312" w:hAnsi="宋体" w:cs="宋体" w:hint="eastAsia"/>
                <w:kern w:val="0"/>
                <w:szCs w:val="21"/>
              </w:rPr>
              <w:t>个及以上省级优秀教学团队。</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6</w:t>
            </w:r>
          </w:p>
        </w:tc>
      </w:tr>
      <w:tr w:rsidR="00D96A72" w:rsidTr="00D96A72">
        <w:trPr>
          <w:trHeight w:val="801"/>
          <w:jc w:val="center"/>
        </w:trPr>
        <w:tc>
          <w:tcPr>
            <w:tcW w:w="1056" w:type="dxa"/>
            <w:vMerge w:val="restart"/>
            <w:vAlign w:val="center"/>
          </w:tcPr>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育人成效</w:t>
            </w:r>
          </w:p>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w:t>
            </w:r>
            <w:r>
              <w:rPr>
                <w:rFonts w:ascii="仿宋_GB2312" w:hAnsi="宋体" w:cs="宋体" w:hint="eastAsia"/>
                <w:kern w:val="0"/>
                <w:szCs w:val="21"/>
              </w:rPr>
              <w:t>15</w:t>
            </w:r>
            <w:r>
              <w:rPr>
                <w:rFonts w:ascii="仿宋_GB2312" w:hAnsi="宋体" w:cs="宋体" w:hint="eastAsia"/>
                <w:kern w:val="0"/>
                <w:szCs w:val="21"/>
              </w:rPr>
              <w:t>分）</w:t>
            </w: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第二课堂</w:t>
            </w:r>
          </w:p>
        </w:tc>
        <w:tc>
          <w:tcPr>
            <w:tcW w:w="6348" w:type="dxa"/>
            <w:vAlign w:val="center"/>
          </w:tcPr>
          <w:p w:rsidR="00D96A72" w:rsidRDefault="00D96A72" w:rsidP="00040B12">
            <w:pPr>
              <w:widowControl/>
              <w:spacing w:line="360" w:lineRule="exact"/>
              <w:rPr>
                <w:rFonts w:ascii="仿宋_GB2312" w:eastAsia="宋体" w:hAnsi="宋体" w:cs="宋体"/>
                <w:kern w:val="0"/>
                <w:szCs w:val="21"/>
              </w:rPr>
            </w:pPr>
            <w:r>
              <w:rPr>
                <w:rFonts w:ascii="仿宋_GB2312" w:hAnsi="宋体" w:cs="宋体" w:hint="eastAsia"/>
                <w:kern w:val="0"/>
                <w:szCs w:val="21"/>
              </w:rPr>
              <w:t>重视第二课堂，促进学生实践创新能力提升，人才培养与经济社会发展需求的适应度不断提高，毕业生对学校教育教学满意度和用人单位对毕业生满意度较高。</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738"/>
          <w:jc w:val="center"/>
        </w:trPr>
        <w:tc>
          <w:tcPr>
            <w:tcW w:w="1056" w:type="dxa"/>
            <w:vMerge/>
            <w:vAlign w:val="center"/>
          </w:tcPr>
          <w:p w:rsidR="00D96A72" w:rsidRDefault="00D96A72" w:rsidP="00040B12">
            <w:pPr>
              <w:widowControl/>
              <w:spacing w:line="360" w:lineRule="exact"/>
              <w:jc w:val="center"/>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就业质量</w:t>
            </w:r>
          </w:p>
        </w:tc>
        <w:tc>
          <w:tcPr>
            <w:tcW w:w="6348" w:type="dxa"/>
            <w:vAlign w:val="center"/>
          </w:tcPr>
          <w:p w:rsidR="00D96A72" w:rsidRDefault="00D96A72" w:rsidP="00040B12">
            <w:pPr>
              <w:widowControl/>
              <w:spacing w:line="360" w:lineRule="exact"/>
              <w:rPr>
                <w:rFonts w:ascii="仿宋_GB2312" w:eastAsia="宋体" w:hAnsi="宋体" w:cs="宋体"/>
                <w:kern w:val="0"/>
                <w:szCs w:val="21"/>
              </w:rPr>
            </w:pPr>
            <w:r>
              <w:rPr>
                <w:rFonts w:ascii="仿宋_GB2312" w:hAnsi="宋体" w:cs="宋体" w:hint="eastAsia"/>
                <w:kern w:val="0"/>
                <w:szCs w:val="21"/>
              </w:rPr>
              <w:t>重视学生就业工作，毕业生就业率和就业质量较高，将就业指标纳入内部考核评价体系，并建立毕业生就业质量年度报告制度。</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680"/>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eastAsia="宋体" w:hAnsi="宋体" w:cs="宋体"/>
                <w:kern w:val="0"/>
                <w:szCs w:val="21"/>
              </w:rPr>
            </w:pPr>
            <w:r>
              <w:rPr>
                <w:rFonts w:ascii="仿宋_GB2312" w:hAnsi="宋体" w:cs="宋体" w:hint="eastAsia"/>
                <w:kern w:val="0"/>
                <w:szCs w:val="21"/>
              </w:rPr>
              <w:t>创新创业</w:t>
            </w:r>
          </w:p>
        </w:tc>
        <w:tc>
          <w:tcPr>
            <w:tcW w:w="6348" w:type="dxa"/>
            <w:vAlign w:val="center"/>
          </w:tcPr>
          <w:p w:rsidR="00D96A72" w:rsidRDefault="00D96A72" w:rsidP="00040B12">
            <w:pPr>
              <w:widowControl/>
              <w:spacing w:line="360" w:lineRule="exact"/>
              <w:rPr>
                <w:rFonts w:ascii="仿宋_GB2312" w:eastAsia="宋体" w:hAnsi="宋体" w:cs="宋体"/>
                <w:kern w:val="0"/>
                <w:szCs w:val="21"/>
              </w:rPr>
            </w:pPr>
            <w:r>
              <w:rPr>
                <w:rFonts w:ascii="仿宋_GB2312" w:hAnsi="宋体" w:cs="宋体" w:hint="eastAsia"/>
                <w:kern w:val="0"/>
                <w:szCs w:val="21"/>
              </w:rPr>
              <w:t>将创新创业教育渗透到教育教学全过程；当年毕业生自主创业的人数比例达到</w:t>
            </w:r>
            <w:r>
              <w:rPr>
                <w:rFonts w:ascii="仿宋_GB2312" w:hAnsi="宋体" w:cs="宋体" w:hint="eastAsia"/>
                <w:kern w:val="0"/>
                <w:szCs w:val="21"/>
              </w:rPr>
              <w:t>1%</w:t>
            </w:r>
            <w:r>
              <w:rPr>
                <w:rFonts w:ascii="仿宋_GB2312" w:hAnsi="宋体" w:cs="宋体" w:hint="eastAsia"/>
                <w:kern w:val="0"/>
                <w:szCs w:val="21"/>
              </w:rPr>
              <w:t>以上；当年</w:t>
            </w:r>
            <w:r>
              <w:rPr>
                <w:rFonts w:ascii="仿宋_GB2312" w:eastAsia="宋体" w:hAnsi="宋体" w:cs="宋体" w:hint="eastAsia"/>
                <w:kern w:val="0"/>
                <w:szCs w:val="21"/>
              </w:rPr>
              <w:t>学生在技能大赛</w:t>
            </w:r>
            <w:r>
              <w:rPr>
                <w:rFonts w:ascii="仿宋_GB2312" w:hAnsi="宋体" w:cs="宋体" w:hint="eastAsia"/>
                <w:kern w:val="0"/>
                <w:szCs w:val="21"/>
              </w:rPr>
              <w:t>、</w:t>
            </w:r>
            <w:r>
              <w:rPr>
                <w:rFonts w:ascii="仿宋_GB2312" w:eastAsia="宋体" w:hAnsi="宋体" w:cs="宋体" w:hint="eastAsia"/>
                <w:kern w:val="0"/>
                <w:szCs w:val="21"/>
              </w:rPr>
              <w:t>创新创业大赛中获得</w:t>
            </w:r>
            <w:r>
              <w:rPr>
                <w:rFonts w:ascii="仿宋_GB2312" w:hAnsi="宋体" w:cs="宋体" w:hint="eastAsia"/>
                <w:kern w:val="0"/>
                <w:szCs w:val="21"/>
              </w:rPr>
              <w:t>市级一</w:t>
            </w:r>
            <w:r>
              <w:rPr>
                <w:rFonts w:ascii="仿宋_GB2312" w:eastAsia="宋体" w:hAnsi="宋体" w:cs="宋体" w:hint="eastAsia"/>
                <w:kern w:val="0"/>
                <w:szCs w:val="21"/>
              </w:rPr>
              <w:t>等奖</w:t>
            </w:r>
            <w:r>
              <w:rPr>
                <w:rFonts w:ascii="仿宋_GB2312" w:hAnsi="宋体" w:cs="宋体" w:hint="eastAsia"/>
                <w:kern w:val="0"/>
                <w:szCs w:val="21"/>
              </w:rPr>
              <w:t>2</w:t>
            </w:r>
            <w:r>
              <w:rPr>
                <w:rFonts w:ascii="仿宋_GB2312" w:hAnsi="宋体" w:cs="宋体" w:hint="eastAsia"/>
                <w:kern w:val="0"/>
                <w:szCs w:val="21"/>
              </w:rPr>
              <w:t>项以上或省级及以上</w:t>
            </w:r>
            <w:r>
              <w:rPr>
                <w:rFonts w:ascii="仿宋_GB2312" w:hAnsi="宋体" w:cs="宋体" w:hint="eastAsia"/>
                <w:kern w:val="0"/>
                <w:szCs w:val="21"/>
              </w:rPr>
              <w:t>1</w:t>
            </w:r>
            <w:r>
              <w:rPr>
                <w:rFonts w:ascii="仿宋_GB2312" w:hAnsi="宋体" w:cs="宋体" w:hint="eastAsia"/>
                <w:kern w:val="0"/>
                <w:szCs w:val="21"/>
              </w:rPr>
              <w:t>项以上。</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708"/>
          <w:jc w:val="center"/>
        </w:trPr>
        <w:tc>
          <w:tcPr>
            <w:tcW w:w="1056" w:type="dxa"/>
            <w:vMerge w:val="restart"/>
            <w:vAlign w:val="center"/>
          </w:tcPr>
          <w:p w:rsidR="00D96A72" w:rsidRDefault="00D96A72" w:rsidP="00040B12">
            <w:pPr>
              <w:widowControl/>
              <w:spacing w:line="360" w:lineRule="exact"/>
              <w:jc w:val="center"/>
              <w:rPr>
                <w:rFonts w:ascii="仿宋_GB2312" w:hAnsi="宋体" w:cs="宋体"/>
                <w:kern w:val="0"/>
                <w:szCs w:val="21"/>
              </w:rPr>
            </w:pPr>
            <w:r>
              <w:rPr>
                <w:rFonts w:ascii="仿宋_GB2312" w:hAnsi="宋体" w:cs="宋体" w:hint="eastAsia"/>
                <w:kern w:val="0"/>
                <w:szCs w:val="21"/>
              </w:rPr>
              <w:t>社会服务（</w:t>
            </w:r>
            <w:r>
              <w:rPr>
                <w:rFonts w:ascii="仿宋_GB2312" w:hAnsi="宋体" w:cs="宋体" w:hint="eastAsia"/>
                <w:kern w:val="0"/>
                <w:szCs w:val="21"/>
              </w:rPr>
              <w:t>15</w:t>
            </w:r>
            <w:r>
              <w:rPr>
                <w:rFonts w:ascii="仿宋_GB2312" w:hAnsi="宋体" w:cs="宋体" w:hint="eastAsia"/>
                <w:kern w:val="0"/>
                <w:szCs w:val="21"/>
              </w:rPr>
              <w:t>分）</w:t>
            </w:r>
          </w:p>
        </w:tc>
        <w:tc>
          <w:tcPr>
            <w:tcW w:w="1047" w:type="dxa"/>
            <w:vAlign w:val="center"/>
          </w:tcPr>
          <w:p w:rsidR="00D96A72" w:rsidRDefault="00D96A72" w:rsidP="00040B12">
            <w:pPr>
              <w:widowControl/>
              <w:snapToGrid w:val="0"/>
              <w:jc w:val="center"/>
              <w:rPr>
                <w:rFonts w:ascii="仿宋_GB2312" w:hAnsi="宋体" w:cs="宋体"/>
                <w:kern w:val="0"/>
                <w:szCs w:val="21"/>
              </w:rPr>
            </w:pPr>
            <w:r>
              <w:rPr>
                <w:rFonts w:ascii="仿宋_GB2312" w:hAnsi="宋体" w:cs="宋体" w:hint="eastAsia"/>
                <w:kern w:val="0"/>
                <w:szCs w:val="21"/>
              </w:rPr>
              <w:t>科技创新</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建</w:t>
            </w:r>
            <w:r>
              <w:rPr>
                <w:rFonts w:ascii="仿宋_GB2312" w:hAnsi="宋体" w:cs="宋体" w:hint="eastAsia"/>
                <w:spacing w:val="-10"/>
                <w:kern w:val="0"/>
                <w:szCs w:val="21"/>
              </w:rPr>
              <w:t>立以应用性研究为主导的科研管理制度，围绕产业升级开展科技创新和技术服务，将应用性科研创新成果纳入教师评价中，当年有一定数量的科技创新项目和成果。</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771"/>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hAnsi="宋体" w:cs="宋体"/>
                <w:kern w:val="0"/>
                <w:szCs w:val="21"/>
              </w:rPr>
            </w:pPr>
            <w:r>
              <w:rPr>
                <w:rFonts w:ascii="仿宋_GB2312" w:hAnsi="宋体" w:cs="宋体" w:hint="eastAsia"/>
                <w:kern w:val="0"/>
                <w:szCs w:val="21"/>
              </w:rPr>
              <w:t>成果转化</w:t>
            </w:r>
          </w:p>
        </w:tc>
        <w:tc>
          <w:tcPr>
            <w:tcW w:w="6348" w:type="dxa"/>
            <w:vAlign w:val="center"/>
          </w:tcPr>
          <w:p w:rsidR="00D96A72" w:rsidRDefault="00D96A72" w:rsidP="00040B12">
            <w:pPr>
              <w:widowControl/>
              <w:spacing w:line="360" w:lineRule="exact"/>
              <w:rPr>
                <w:rFonts w:ascii="仿宋_GB2312" w:hAnsi="宋体" w:cs="宋体"/>
                <w:kern w:val="0"/>
                <w:szCs w:val="21"/>
              </w:rPr>
            </w:pPr>
            <w:r>
              <w:rPr>
                <w:rFonts w:ascii="仿宋_GB2312" w:hAnsi="宋体" w:cs="宋体" w:hint="eastAsia"/>
                <w:kern w:val="0"/>
                <w:szCs w:val="21"/>
              </w:rPr>
              <w:t>拥有开展应用型科研的教师团队，具有产生应用型科研成果的能力；注重科技成果转化，当年专利、技术转让和技术服务产生一定经济效益和社会效益。</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558"/>
          <w:jc w:val="center"/>
        </w:trPr>
        <w:tc>
          <w:tcPr>
            <w:tcW w:w="1056" w:type="dxa"/>
            <w:vMerge/>
            <w:vAlign w:val="center"/>
          </w:tcPr>
          <w:p w:rsidR="00D96A72" w:rsidRDefault="00D96A72" w:rsidP="00040B12">
            <w:pPr>
              <w:widowControl/>
              <w:jc w:val="left"/>
              <w:rPr>
                <w:rFonts w:ascii="仿宋_GB2312" w:hAnsi="宋体" w:cs="宋体"/>
                <w:kern w:val="0"/>
                <w:szCs w:val="21"/>
              </w:rPr>
            </w:pPr>
          </w:p>
        </w:tc>
        <w:tc>
          <w:tcPr>
            <w:tcW w:w="1047" w:type="dxa"/>
            <w:vAlign w:val="center"/>
          </w:tcPr>
          <w:p w:rsidR="00D96A72" w:rsidRDefault="00D96A72" w:rsidP="00040B12">
            <w:pPr>
              <w:widowControl/>
              <w:snapToGrid w:val="0"/>
              <w:jc w:val="center"/>
              <w:rPr>
                <w:rFonts w:ascii="仿宋_GB2312" w:hAnsi="宋体" w:cs="宋体"/>
                <w:kern w:val="0"/>
                <w:szCs w:val="21"/>
              </w:rPr>
            </w:pPr>
            <w:r>
              <w:rPr>
                <w:rFonts w:ascii="仿宋_GB2312" w:hAnsi="宋体" w:cs="宋体" w:hint="eastAsia"/>
                <w:kern w:val="0"/>
                <w:szCs w:val="21"/>
              </w:rPr>
              <w:t>咨询培训</w:t>
            </w:r>
          </w:p>
        </w:tc>
        <w:tc>
          <w:tcPr>
            <w:tcW w:w="6348" w:type="dxa"/>
            <w:vAlign w:val="center"/>
          </w:tcPr>
          <w:p w:rsidR="00D96A72" w:rsidRDefault="00D96A72" w:rsidP="00040B12">
            <w:pPr>
              <w:widowControl/>
              <w:spacing w:line="360" w:lineRule="exact"/>
              <w:rPr>
                <w:rFonts w:ascii="仿宋_GB2312" w:eastAsia="宋体" w:hAnsi="宋体" w:cs="宋体"/>
                <w:kern w:val="0"/>
                <w:szCs w:val="21"/>
              </w:rPr>
            </w:pPr>
            <w:r>
              <w:rPr>
                <w:rFonts w:ascii="仿宋_GB2312" w:hAnsi="宋体" w:cs="宋体" w:hint="eastAsia"/>
                <w:kern w:val="0"/>
                <w:szCs w:val="21"/>
              </w:rPr>
              <w:t>为社会提供咨询服务，为校外企事业单位开展职工培训。</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5</w:t>
            </w:r>
          </w:p>
        </w:tc>
      </w:tr>
      <w:tr w:rsidR="00D96A72" w:rsidTr="00D96A72">
        <w:trPr>
          <w:trHeight w:val="647"/>
          <w:jc w:val="center"/>
        </w:trPr>
        <w:tc>
          <w:tcPr>
            <w:tcW w:w="8451" w:type="dxa"/>
            <w:gridSpan w:val="3"/>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合计</w:t>
            </w:r>
          </w:p>
        </w:tc>
        <w:tc>
          <w:tcPr>
            <w:tcW w:w="847" w:type="dxa"/>
            <w:vAlign w:val="center"/>
          </w:tcPr>
          <w:p w:rsidR="00D96A72" w:rsidRDefault="00D96A72" w:rsidP="00040B12">
            <w:pPr>
              <w:widowControl/>
              <w:spacing w:line="360" w:lineRule="exact"/>
              <w:jc w:val="center"/>
              <w:rPr>
                <w:rFonts w:ascii="仿宋_GB2312" w:eastAsia="宋体" w:hAnsi="宋体" w:cs="宋体"/>
                <w:kern w:val="0"/>
                <w:szCs w:val="21"/>
              </w:rPr>
            </w:pPr>
            <w:r>
              <w:rPr>
                <w:rFonts w:ascii="仿宋_GB2312" w:hAnsi="宋体" w:cs="宋体" w:hint="eastAsia"/>
                <w:kern w:val="0"/>
                <w:szCs w:val="21"/>
              </w:rPr>
              <w:t>100</w:t>
            </w:r>
          </w:p>
        </w:tc>
      </w:tr>
    </w:tbl>
    <w:p w:rsidR="00B038AD" w:rsidRDefault="00B038AD">
      <w:bookmarkStart w:id="0" w:name="_GoBack"/>
      <w:bookmarkEnd w:id="0"/>
    </w:p>
    <w:sectPr w:rsidR="00B038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D5" w:rsidRDefault="00914AD5" w:rsidP="00D96A72">
      <w:r>
        <w:separator/>
      </w:r>
    </w:p>
  </w:endnote>
  <w:endnote w:type="continuationSeparator" w:id="0">
    <w:p w:rsidR="00914AD5" w:rsidRDefault="00914AD5" w:rsidP="00D9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D5" w:rsidRDefault="00914AD5" w:rsidP="00D96A72">
      <w:r>
        <w:separator/>
      </w:r>
    </w:p>
  </w:footnote>
  <w:footnote w:type="continuationSeparator" w:id="0">
    <w:p w:rsidR="00914AD5" w:rsidRDefault="00914AD5" w:rsidP="00D96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C2"/>
    <w:rsid w:val="009033C2"/>
    <w:rsid w:val="00914AD5"/>
    <w:rsid w:val="00B038AD"/>
    <w:rsid w:val="00D9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A7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A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6A72"/>
    <w:rPr>
      <w:sz w:val="18"/>
      <w:szCs w:val="18"/>
    </w:rPr>
  </w:style>
  <w:style w:type="paragraph" w:styleId="a4">
    <w:name w:val="footer"/>
    <w:basedOn w:val="a"/>
    <w:link w:val="Char0"/>
    <w:uiPriority w:val="99"/>
    <w:unhideWhenUsed/>
    <w:rsid w:val="00D96A72"/>
    <w:pPr>
      <w:tabs>
        <w:tab w:val="center" w:pos="4153"/>
        <w:tab w:val="right" w:pos="8306"/>
      </w:tabs>
      <w:snapToGrid w:val="0"/>
      <w:jc w:val="left"/>
    </w:pPr>
    <w:rPr>
      <w:sz w:val="18"/>
      <w:szCs w:val="18"/>
    </w:rPr>
  </w:style>
  <w:style w:type="character" w:customStyle="1" w:styleId="Char0">
    <w:name w:val="页脚 Char"/>
    <w:basedOn w:val="a0"/>
    <w:link w:val="a4"/>
    <w:uiPriority w:val="99"/>
    <w:rsid w:val="00D96A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A7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A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6A72"/>
    <w:rPr>
      <w:sz w:val="18"/>
      <w:szCs w:val="18"/>
    </w:rPr>
  </w:style>
  <w:style w:type="paragraph" w:styleId="a4">
    <w:name w:val="footer"/>
    <w:basedOn w:val="a"/>
    <w:link w:val="Char0"/>
    <w:uiPriority w:val="99"/>
    <w:unhideWhenUsed/>
    <w:rsid w:val="00D96A72"/>
    <w:pPr>
      <w:tabs>
        <w:tab w:val="center" w:pos="4153"/>
        <w:tab w:val="right" w:pos="8306"/>
      </w:tabs>
      <w:snapToGrid w:val="0"/>
      <w:jc w:val="left"/>
    </w:pPr>
    <w:rPr>
      <w:sz w:val="18"/>
      <w:szCs w:val="18"/>
    </w:rPr>
  </w:style>
  <w:style w:type="character" w:customStyle="1" w:styleId="Char0">
    <w:name w:val="页脚 Char"/>
    <w:basedOn w:val="a0"/>
    <w:link w:val="a4"/>
    <w:uiPriority w:val="99"/>
    <w:rsid w:val="00D96A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1272</Characters>
  <Application>Microsoft Office Word</Application>
  <DocSecurity>0</DocSecurity>
  <Lines>10</Lines>
  <Paragraphs>2</Paragraphs>
  <ScaleCrop>false</ScaleCrop>
  <Company>Microsoft</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2020-10-26T00:56:00Z</dcterms:created>
  <dcterms:modified xsi:type="dcterms:W3CDTF">2020-10-26T00:57:00Z</dcterms:modified>
</cp:coreProperties>
</file>